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8622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AC95DF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A267544" w14:textId="77777777" w:rsidR="0075357B" w:rsidRDefault="00361D47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92C9A3D" wp14:editId="3AAFB5A9">
            <wp:simplePos x="0" y="0"/>
            <wp:positionH relativeFrom="page">
              <wp:posOffset>914400</wp:posOffset>
            </wp:positionH>
            <wp:positionV relativeFrom="paragraph">
              <wp:posOffset>-130809</wp:posOffset>
            </wp:positionV>
            <wp:extent cx="1238110" cy="657186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110" cy="65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6D95D0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18F373" w14:textId="77777777" w:rsidR="0075357B" w:rsidRDefault="0075357B">
      <w:pPr>
        <w:spacing w:after="257"/>
        <w:rPr>
          <w:rFonts w:ascii="Times New Roman" w:hAnsi="Times New Roman"/>
          <w:color w:val="000000" w:themeColor="text1"/>
          <w:sz w:val="24"/>
          <w:szCs w:val="24"/>
        </w:rPr>
      </w:pPr>
    </w:p>
    <w:p w14:paraId="73406707" w14:textId="77777777" w:rsidR="0075357B" w:rsidRDefault="00361D47">
      <w:pPr>
        <w:tabs>
          <w:tab w:val="left" w:pos="2287"/>
        </w:tabs>
        <w:spacing w:line="185" w:lineRule="exact"/>
        <w:ind w:left="871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Annex V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Terms of Reference for Consultants and other persons hired by IFAD under a non-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8BD7919" w14:textId="77777777" w:rsidR="0075357B" w:rsidRDefault="00361D47">
      <w:pPr>
        <w:spacing w:line="185" w:lineRule="exact"/>
        <w:ind w:left="2287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staff contract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pPr w:vertAnchor="text" w:horzAnchor="page" w:tblpX="1143" w:tblpY="20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36"/>
        <w:gridCol w:w="6441"/>
      </w:tblGrid>
      <w:tr w:rsidR="0075357B" w14:paraId="6776E6BD" w14:textId="77777777" w:rsidTr="001E18EB">
        <w:trPr>
          <w:trHeight w:hRule="exact" w:val="257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7DB69CE" w14:textId="77777777" w:rsidR="0075357B" w:rsidRDefault="00361D47">
            <w:pPr>
              <w:spacing w:before="34"/>
              <w:ind w:left="-1" w:right="1620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INDIVIDUAL RESPONSIBILITIES, EXPECTED OUTPUTS AND REQUIRED COMPLETION DATES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5357B" w14:paraId="1957A084" w14:textId="77777777" w:rsidTr="001E18EB">
        <w:trPr>
          <w:trHeight w:hRule="exact" w:val="410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ED7DF" w14:textId="77777777" w:rsidR="0075357B" w:rsidRDefault="00361D47">
            <w:pPr>
              <w:spacing w:before="146" w:after="102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Full Name: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2C5F7A" w14:textId="410079AD" w:rsidR="0075357B" w:rsidRPr="003B6622" w:rsidRDefault="0075357B" w:rsidP="003B6622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</w:p>
        </w:tc>
      </w:tr>
      <w:tr w:rsidR="0075357B" w14:paraId="0E3B10D5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B5AF95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Category: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1DD9D8" w14:textId="77777777" w:rsidR="0075357B" w:rsidRPr="003B6622" w:rsidRDefault="00361D47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Intern</w:t>
            </w:r>
            <w:r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 </w:t>
            </w:r>
          </w:p>
        </w:tc>
      </w:tr>
      <w:tr w:rsidR="0075357B" w14:paraId="06D9EFAD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017B4C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Type: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3C3C3" w14:textId="0B1A8287" w:rsidR="0075357B" w:rsidRPr="003B6622" w:rsidRDefault="003B6622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09-Interns Regular</w:t>
            </w:r>
          </w:p>
        </w:tc>
      </w:tr>
      <w:tr w:rsidR="0075357B" w14:paraId="0141CC4D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CC7F89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Sub Type: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4593BE" w14:textId="77777777" w:rsidR="0075357B" w:rsidRPr="003B6622" w:rsidRDefault="00361D47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Monthly</w:t>
            </w:r>
            <w:r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 </w:t>
            </w:r>
          </w:p>
        </w:tc>
      </w:tr>
      <w:tr w:rsidR="0075357B" w:rsidRPr="009B7306" w14:paraId="6E26A242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474524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Specialization: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34657F" w14:textId="0A56DFC5" w:rsidR="0075357B" w:rsidRPr="003B6622" w:rsidRDefault="003B6622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Finance Other</w:t>
            </w:r>
          </w:p>
        </w:tc>
      </w:tr>
      <w:tr w:rsidR="0075357B" w14:paraId="1CA51397" w14:textId="77777777" w:rsidTr="001E18EB">
        <w:trPr>
          <w:trHeight w:hRule="exact" w:val="39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2BB81C" w14:textId="77777777" w:rsidR="0075357B" w:rsidRDefault="00361D47">
            <w:pPr>
              <w:spacing w:before="131" w:after="10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Start Date of Assignment: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42E702" w14:textId="053E1F23" w:rsidR="0075357B" w:rsidRPr="003B6622" w:rsidRDefault="00A22CA3" w:rsidP="003B6622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Monday</w:t>
            </w:r>
            <w:r w:rsidR="003B6622"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 </w:t>
            </w:r>
            <w:r w:rsidR="005B07CD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March</w:t>
            </w:r>
            <w:r w:rsidR="003B6622"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2</w:t>
            </w:r>
            <w:r w:rsidR="003B6622"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6</w:t>
            </w:r>
          </w:p>
        </w:tc>
      </w:tr>
      <w:tr w:rsidR="0075357B" w14:paraId="7AAF50E7" w14:textId="77777777" w:rsidTr="001E18EB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D55DC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End Date of Assignment: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038FC5" w14:textId="5254FC00" w:rsidR="0075357B" w:rsidRPr="003B6622" w:rsidRDefault="005B07CD" w:rsidP="003B6622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Monday</w:t>
            </w:r>
            <w:r w:rsidR="003B6622"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August </w:t>
            </w:r>
            <w:r w:rsidR="003B6622"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31 2026</w:t>
            </w:r>
          </w:p>
        </w:tc>
      </w:tr>
      <w:tr w:rsidR="0075357B" w14:paraId="3DC29351" w14:textId="77777777" w:rsidTr="001E18EB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FB40A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Total number of months of service: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AC2DD" w14:textId="3F6628AC" w:rsidR="0075357B" w:rsidRPr="003B6622" w:rsidRDefault="005B07CD" w:rsidP="003B6622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6</w:t>
            </w:r>
          </w:p>
        </w:tc>
      </w:tr>
      <w:tr w:rsidR="0075357B" w14:paraId="161E13FC" w14:textId="77777777" w:rsidTr="001E18EB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9A6E27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Total number of days of service: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80C54D" w14:textId="70D521C6" w:rsidR="0075357B" w:rsidRPr="003B6622" w:rsidRDefault="00A22CA3" w:rsidP="003B6622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130</w:t>
            </w:r>
          </w:p>
        </w:tc>
      </w:tr>
      <w:tr w:rsidR="0075357B" w14:paraId="7DBE41E7" w14:textId="77777777" w:rsidTr="001E18EB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F16B83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Division/Department: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B64693" w14:textId="179C8B9A" w:rsidR="0075357B" w:rsidRPr="003B6622" w:rsidRDefault="003B6622" w:rsidP="003B6622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Procurement and Fin Man Div</w:t>
            </w:r>
          </w:p>
        </w:tc>
      </w:tr>
      <w:tr w:rsidR="0075357B" w:rsidRPr="0032280E" w14:paraId="65D773B7" w14:textId="77777777" w:rsidTr="001E18EB">
        <w:trPr>
          <w:trHeight w:hRule="exact" w:val="41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32638" w14:textId="77777777" w:rsidR="0075357B" w:rsidRDefault="00361D47">
            <w:pPr>
              <w:spacing w:before="119" w:after="136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Reports to: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0DEA04" w14:textId="6BD4BFE3" w:rsidR="0075357B" w:rsidRPr="003B6622" w:rsidRDefault="003B6622" w:rsidP="003B6622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3B6622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RADU DAMIANOV, Senior Regional FM Officer</w:t>
            </w:r>
          </w:p>
        </w:tc>
      </w:tr>
      <w:tr w:rsidR="0075357B" w14:paraId="4BC6540E" w14:textId="77777777" w:rsidTr="001E18EB">
        <w:trPr>
          <w:trHeight w:hRule="exact" w:val="258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157F32A3" w14:textId="77777777" w:rsidR="0075357B" w:rsidRDefault="00361D47">
            <w:pPr>
              <w:spacing w:before="34"/>
              <w:ind w:left="-1" w:right="3137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GENERAL DESCRIPTION OF TASK(S) AND OBJECTIVE(S) TO BE ACHIEVED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E18EB" w14:paraId="55167EAE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EF6D61" w14:textId="0B711242" w:rsidR="001E18EB" w:rsidRPr="00CF350C" w:rsidRDefault="001E18EB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 w:rsidRPr="00CF350C"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O</w:t>
            </w:r>
            <w:r w:rsidRPr="00CF350C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 xml:space="preserve">rganizational Context: </w:t>
            </w:r>
          </w:p>
          <w:p w14:paraId="0BD6292C" w14:textId="77777777" w:rsidR="001E18EB" w:rsidRDefault="001E18EB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</w:p>
          <w:p w14:paraId="270B9012" w14:textId="1305AB40" w:rsidR="001E18EB" w:rsidRPr="00CF350C" w:rsidRDefault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Learning objectives &amp; competency development:</w:t>
            </w:r>
          </w:p>
          <w:p w14:paraId="5D6963E1" w14:textId="768FC57D" w:rsidR="001E18EB" w:rsidRDefault="001E18EB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Please briefly describe the </w:t>
            </w:r>
            <w:r w:rsidR="000657E3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learning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objective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s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of the internship</w:t>
            </w:r>
            <w:r w:rsidR="000657E3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 and how 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they</w:t>
            </w:r>
            <w:r w:rsidR="000657E3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 will contribute to the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 intern</w:t>
            </w:r>
            <w:r w:rsidR="00954099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’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s</w:t>
            </w:r>
            <w:r w:rsidR="000657E3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 competency development </w:t>
            </w:r>
          </w:p>
          <w:p w14:paraId="3D2BD1A5" w14:textId="361FEAD9" w:rsidR="005F31C4" w:rsidRPr="009B7306" w:rsidRDefault="005F31C4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 </w:t>
            </w:r>
          </w:p>
        </w:tc>
      </w:tr>
      <w:tr w:rsidR="0075357B" w14:paraId="411A932E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9389CF" w14:textId="52E9F9C8" w:rsidR="0075357B" w:rsidRPr="00CF350C" w:rsidRDefault="00361D47">
            <w:pPr>
              <w:spacing w:before="125" w:after="101"/>
              <w:ind w:left="149" w:right="-18"/>
              <w:rPr>
                <w:rFonts w:ascii="Times New Roman" w:hAnsi="Times New Roman" w:cs="Times New Roman"/>
                <w:b/>
                <w:bCs/>
                <w:color w:val="010302"/>
              </w:rPr>
            </w:pPr>
            <w:r w:rsidRPr="00CF350C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Activities:</w:t>
            </w:r>
            <w:r w:rsidRPr="00CF35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5357B" w14:paraId="589C32FD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2DEA22" w14:textId="283D5316" w:rsidR="001E18EB" w:rsidRPr="00CF350C" w:rsidRDefault="001E18EB" w:rsidP="001E18EB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1. </w:t>
            </w:r>
            <w:r w:rsidR="00A12E0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Core Functional Tasks</w:t>
            </w:r>
            <w:r w:rsidR="005313E3"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(70%)</w:t>
            </w:r>
          </w:p>
          <w:p w14:paraId="4D508FFF" w14:textId="5F15EA7D" w:rsidR="0075357B" w:rsidRPr="005313E3" w:rsidRDefault="001E18EB" w:rsidP="005313E3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5313E3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Please describe 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the </w:t>
            </w:r>
            <w:r w:rsidR="005313E3" w:rsidRPr="005313E3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regular activities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the intern will be expected to perform</w:t>
            </w:r>
            <w:r w:rsidR="005313E3" w:rsidRPr="005313E3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(please limit the administrative 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>duties</w:t>
            </w:r>
            <w:r w:rsidR="005313E3" w:rsidRPr="005313E3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)</w:t>
            </w:r>
          </w:p>
          <w:p w14:paraId="6805C59F" w14:textId="77777777" w:rsidR="00E53AB6" w:rsidRPr="00E53AB6" w:rsidRDefault="00E53AB6" w:rsidP="00E53AB6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1. Mission maintain calendar of the department. Liaising with relevant units to plan missions for finance officers and consultants</w:t>
            </w:r>
          </w:p>
          <w:p w14:paraId="407B463E" w14:textId="77777777" w:rsidR="00E53AB6" w:rsidRPr="00E53AB6" w:rsidRDefault="00E53AB6" w:rsidP="00E53AB6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2. Research and collect data from internal and external sources for report/queries and follow-up</w:t>
            </w:r>
          </w:p>
          <w:p w14:paraId="1AC496A3" w14:textId="69B1B16C" w:rsidR="00E53AB6" w:rsidRPr="00E53AB6" w:rsidRDefault="00E53AB6" w:rsidP="00E52632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3. Assist in review of Supervision Mission documents in relation to Financial Management areas e.g. budgeting, accounting, flow of funds, procurement, financial reporting and audit</w:t>
            </w:r>
          </w:p>
          <w:p w14:paraId="0F783011" w14:textId="60F07132" w:rsidR="00E53AB6" w:rsidRPr="00E53AB6" w:rsidRDefault="00E53AB6" w:rsidP="00E52632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4. Assist in preparing user-tailored financial reporting on </w:t>
            </w:r>
            <w:r w:rsidR="00A22CA3"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IFAD ‘supported</w:t>
            </w: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projects and project data, including disbursement patterns and analysis on financing agreements</w:t>
            </w:r>
          </w:p>
          <w:p w14:paraId="62FFEC0A" w14:textId="033379C3" w:rsidR="00E53AB6" w:rsidRPr="00E53AB6" w:rsidRDefault="00E53AB6" w:rsidP="00E52632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5. Use the FM Data Base (FMDB) and prepare related monitoring/status files. Assist Finance Officers, and Consultants in updating information in FMDB</w:t>
            </w:r>
          </w:p>
          <w:p w14:paraId="0F0F347F" w14:textId="77777777" w:rsidR="00E53AB6" w:rsidRPr="00E53AB6" w:rsidRDefault="00E53AB6" w:rsidP="00E53AB6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6. Assist Finance Officers in redacting audit reports and uploading in PFM</w:t>
            </w:r>
          </w:p>
          <w:p w14:paraId="03ACFC9E" w14:textId="68D2E536" w:rsidR="00E53AB6" w:rsidRPr="00E53AB6" w:rsidRDefault="00E53AB6" w:rsidP="00E52632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7. Assist with the organisation of the Financial Management training events for projects, consultants and, finance meetings with project finance teams, country directors as appropriate.</w:t>
            </w:r>
          </w:p>
          <w:p w14:paraId="1E63E2E9" w14:textId="77777777" w:rsidR="00E53AB6" w:rsidRPr="00E53AB6" w:rsidRDefault="00E53AB6" w:rsidP="00E53AB6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8. Undertake other activities as required and discussed with the Finance Officers</w:t>
            </w:r>
          </w:p>
          <w:p w14:paraId="66DD27A8" w14:textId="7904D03E" w:rsidR="005313E3" w:rsidRDefault="00E53AB6" w:rsidP="00E53AB6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9. Gather and analyse disbursement data for finance officers</w:t>
            </w:r>
          </w:p>
          <w:p w14:paraId="052A3103" w14:textId="77777777" w:rsidR="00E53AB6" w:rsidRDefault="00E53AB6" w:rsidP="00E53AB6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258D752E" w14:textId="73076C82" w:rsidR="005313E3" w:rsidRPr="00CF350C" w:rsidRDefault="005313E3" w:rsidP="005313E3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CF350C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t>2</w:t>
            </w:r>
            <w:r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.  </w:t>
            </w:r>
            <w:r w:rsidR="00A12E0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Cross-functional Tasks</w:t>
            </w:r>
            <w:r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(30%)</w:t>
            </w:r>
          </w:p>
          <w:p w14:paraId="230AE51F" w14:textId="775F3B18" w:rsidR="000657E3" w:rsidRPr="00954099" w:rsidRDefault="00A22CA3" w:rsidP="00954099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The intern can work closely with the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Regional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team to operationalize a risk based improvement plan dashboard on fiduciary aspects to help improve the overall portfolio performance. </w:t>
            </w:r>
            <w:r w:rsidR="00DC30E1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This can be done with the </w:t>
            </w:r>
            <w:proofErr w:type="gramStart"/>
            <w:r w:rsidR="00DC30E1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Regional</w:t>
            </w:r>
            <w:proofErr w:type="gramEnd"/>
            <w:r w:rsidR="00DC30E1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team, the ICT consultant and FO. </w:t>
            </w:r>
          </w:p>
          <w:p w14:paraId="4164F1C7" w14:textId="4CD0E66A" w:rsidR="005313E3" w:rsidRPr="005313E3" w:rsidRDefault="005313E3" w:rsidP="005313E3">
            <w:p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</w:p>
        </w:tc>
      </w:tr>
      <w:tr w:rsidR="000657E3" w14:paraId="72B65E26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31EF4F" w14:textId="20261764" w:rsidR="000657E3" w:rsidRPr="00CF350C" w:rsidRDefault="000657E3" w:rsidP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Skills and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qualifications</w:t>
            </w:r>
          </w:p>
        </w:tc>
      </w:tr>
      <w:tr w:rsidR="000657E3" w:rsidRPr="00954099" w14:paraId="12BD4C87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4EE54E" w14:textId="77777777" w:rsidR="000657E3" w:rsidRDefault="000657E3" w:rsidP="000657E3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t>Required skills</w:t>
            </w:r>
          </w:p>
          <w:p w14:paraId="354E613A" w14:textId="7CB5D635" w:rsidR="000657E3" w:rsidRDefault="000657E3" w:rsidP="000657E3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Please describe 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the specific </w:t>
            </w: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>skill sets required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for the successful performance of the role.</w:t>
            </w:r>
          </w:p>
          <w:p w14:paraId="7C2EBC72" w14:textId="7DB02B5F" w:rsidR="00E53AB6" w:rsidRPr="00E53AB6" w:rsidRDefault="00E53AB6" w:rsidP="00E52632">
            <w:pPr>
              <w:pStyle w:val="ListParagraph"/>
              <w:spacing w:before="125" w:after="101"/>
              <w:ind w:left="1229"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- Be fluent in English; fluency in </w:t>
            </w:r>
            <w:r w:rsidR="00DC30E1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French</w:t>
            </w: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is an asset. In the case of interns recruited in IFAD country office, multi country office or regional office locations, fluency in the main country language may be </w:t>
            </w:r>
            <w:proofErr w:type="gramStart"/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required;</w:t>
            </w:r>
            <w:proofErr w:type="gramEnd"/>
          </w:p>
          <w:p w14:paraId="332E0989" w14:textId="77777777" w:rsidR="00E53AB6" w:rsidRDefault="00E53AB6" w:rsidP="00E53AB6">
            <w:pPr>
              <w:pStyle w:val="ListParagraph"/>
              <w:spacing w:before="125" w:after="101"/>
              <w:ind w:left="1229"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- Proficiency in Ms Office, and business-related software and dashboards</w:t>
            </w:r>
          </w:p>
          <w:p w14:paraId="32092D74" w14:textId="77777777" w:rsidR="00740670" w:rsidRDefault="00740670" w:rsidP="00E53AB6">
            <w:pPr>
              <w:pStyle w:val="ListParagraph"/>
              <w:spacing w:before="125" w:after="101"/>
              <w:ind w:left="1229"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</w:p>
          <w:p w14:paraId="6DDD875C" w14:textId="14B65D82" w:rsidR="000657E3" w:rsidRPr="00E53AB6" w:rsidRDefault="000657E3" w:rsidP="00E53AB6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E53AB6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t>Desirable academic background</w:t>
            </w:r>
          </w:p>
          <w:p w14:paraId="2916DD67" w14:textId="77777777" w:rsidR="00E53AB6" w:rsidRDefault="000657E3" w:rsidP="00E53AB6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Please </w:t>
            </w:r>
            <w:r w:rsidRPr="00954099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describe</w:t>
            </w: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954099"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>the</w:t>
            </w: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Pr="00954099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academic</w:t>
            </w: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disciplines</w:t>
            </w:r>
            <w:r w:rsidR="00954099"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or </w:t>
            </w:r>
            <w:r w:rsidR="00954099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fields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of study that would be considered an asset for the role.</w:t>
            </w:r>
          </w:p>
          <w:p w14:paraId="39141F28" w14:textId="6A7CDBC9" w:rsidR="00E53AB6" w:rsidRPr="00E53AB6" w:rsidRDefault="00E53AB6" w:rsidP="00E52632">
            <w:pPr>
              <w:pStyle w:val="ListParagraph"/>
              <w:spacing w:before="125" w:after="101"/>
              <w:ind w:left="1229"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- Have completed at least two years of undergraduate studies (Business Administration, Finance, Accounting, Audit or related field) when joining IFAD through the programme </w:t>
            </w:r>
            <w:proofErr w:type="gramStart"/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or;</w:t>
            </w:r>
            <w:proofErr w:type="gramEnd"/>
          </w:p>
          <w:p w14:paraId="03B35B2C" w14:textId="53FC2363" w:rsidR="00E53AB6" w:rsidRPr="00E53AB6" w:rsidRDefault="00E53AB6" w:rsidP="00E53AB6">
            <w:pPr>
              <w:pStyle w:val="ListParagraph"/>
              <w:spacing w:before="125" w:after="101"/>
              <w:ind w:left="1229"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E53AB6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lastRenderedPageBreak/>
              <w:t>- Have recently completed university studies at the undergraduate or postgraduate level;</w:t>
            </w:r>
          </w:p>
        </w:tc>
      </w:tr>
      <w:tr w:rsidR="000657E3" w14:paraId="367B9789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5CE9A0" w14:textId="52AE96C6" w:rsidR="000657E3" w:rsidRDefault="005F31C4" w:rsidP="005F31C4">
            <w:pPr>
              <w:spacing w:before="34"/>
              <w:ind w:right="3137"/>
              <w:rPr>
                <w:rFonts w:ascii="Times New Roman" w:hAnsi="Times New Roman" w:cs="Times New Roman"/>
                <w:color w:val="010302"/>
                <w:lang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lastRenderedPageBreak/>
              <w:t xml:space="preserve">   </w:t>
            </w:r>
            <w:r w:rsidRPr="005F31C4"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</w:rPr>
              <w:t>Internship</w:t>
            </w:r>
            <w:r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eastAsia="ko-KR"/>
              </w:rPr>
              <w:t xml:space="preserve"> Assessment</w:t>
            </w:r>
          </w:p>
        </w:tc>
      </w:tr>
      <w:tr w:rsidR="005F31C4" w14:paraId="5492CD0B" w14:textId="77777777" w:rsidTr="007936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98512" w14:textId="173EEEEB" w:rsidR="005F31C4" w:rsidRDefault="005F31C4" w:rsidP="005F31C4">
            <w:pPr>
              <w:spacing w:before="135" w:after="112"/>
              <w:ind w:left="91" w:right="-18"/>
              <w:rPr>
                <w:rFonts w:ascii="Times New Roman" w:hAnsi="Times New Roman" w:cs="Times New Roman"/>
                <w:color w:val="010302"/>
                <w:lang w:eastAsia="ko-KR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 xml:space="preserve">Expected </w:t>
            </w: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outcomes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and supervision plan</w:t>
            </w:r>
          </w:p>
        </w:tc>
      </w:tr>
      <w:tr w:rsidR="005F31C4" w14:paraId="6DF60A4A" w14:textId="77777777" w:rsidTr="00752906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C03236" w14:textId="77777777" w:rsidR="00EA6792" w:rsidRPr="00EA6792" w:rsidRDefault="005F31C4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1. </w:t>
            </w:r>
            <w:r w:rsidRPr="005F31C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Please describe </w:t>
            </w:r>
            <w:r w:rsidRPr="005F31C4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>how the above activities will contribute to the Intern</w:t>
            </w:r>
            <w:r w:rsidRPr="005F31C4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’</w:t>
            </w:r>
            <w:r w:rsidRPr="005F31C4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s 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>learning and professional development</w:t>
            </w:r>
            <w:r w:rsidRPr="005F31C4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. </w:t>
            </w:r>
          </w:p>
          <w:p w14:paraId="039F4838" w14:textId="77777777" w:rsidR="00EA6792" w:rsidRPr="00EA6792" w:rsidRDefault="00EA6792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</w:p>
          <w:p w14:paraId="300E4347" w14:textId="63530979" w:rsidR="005F31C4" w:rsidRPr="00870797" w:rsidRDefault="00DC30E1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 w:rsidRPr="0087079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This internship will help the candidate improve their </w:t>
            </w:r>
            <w:proofErr w:type="gramStart"/>
            <w:r w:rsidRPr="0087079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risk based</w:t>
            </w:r>
            <w:proofErr w:type="gramEnd"/>
            <w:r w:rsidRPr="0087079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assessment and program management under high, substantial, and fragile context. The candidate will also learn adaptability by working in a different cultural context. </w:t>
            </w:r>
          </w:p>
          <w:p w14:paraId="2D4A0F05" w14:textId="5606883E" w:rsidR="005F31C4" w:rsidRPr="00870797" w:rsidRDefault="005F31C4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2. </w:t>
            </w:r>
            <w:r w:rsidRPr="005F31C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Please describe how the supervisor will evaluate the 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Intern</w:t>
            </w:r>
            <w:r w:rsidR="00954099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’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s performance in relation to the activities outlined above.</w:t>
            </w:r>
            <w:r w:rsidR="00DC30E1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</w:t>
            </w:r>
            <w:r w:rsidR="00DC30E1" w:rsidRPr="00870797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 xml:space="preserve">The candidate will be evaluated on efforts, innovative and solution-oriented ideas, initiatives and analytical skills. </w:t>
            </w:r>
          </w:p>
          <w:p w14:paraId="4BEABECA" w14:textId="0A7A9D51" w:rsidR="005F31C4" w:rsidRPr="00870797" w:rsidRDefault="005F31C4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 xml:space="preserve">3. </w:t>
            </w:r>
            <w:r w:rsidRPr="005F31C4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Please also outline the supervision plan</w:t>
            </w:r>
            <w:r w:rsidR="00954099">
              <w:rPr>
                <w:rFonts w:ascii="Arial" w:hAnsi="Arial" w:cs="Arial" w:hint="eastAsia"/>
                <w:color w:val="000000"/>
                <w:spacing w:val="-1"/>
                <w:sz w:val="16"/>
                <w:szCs w:val="16"/>
                <w:lang w:eastAsia="ko-KR"/>
              </w:rPr>
              <w:t>, including the frequency and mode of interaction between the supervisor and the intern (e.g., regular check-ins, feedback sessions, progress reviews).</w:t>
            </w:r>
            <w:r w:rsidR="00DC30E1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</w:t>
            </w:r>
            <w:r w:rsidR="00DC30E1" w:rsidRPr="00870797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 xml:space="preserve">The candidate will be under the supervision of the Team Lead but will be monitored, mentored and </w:t>
            </w:r>
            <w:r w:rsidR="00870797" w:rsidRPr="00870797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 xml:space="preserve">coached by the finance officers. </w:t>
            </w:r>
          </w:p>
          <w:p w14:paraId="52FDCEDE" w14:textId="0C15C83E" w:rsidR="005F31C4" w:rsidRDefault="005F31C4" w:rsidP="005F31C4">
            <w:pPr>
              <w:spacing w:before="117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</w:p>
        </w:tc>
      </w:tr>
    </w:tbl>
    <w:p w14:paraId="12F5AB74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5BF2A4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1C5B4EB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BA6E04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1B76B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FA5BCC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447A232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B260D5C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DB814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FB483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B0DAA5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64C8EF8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2157EE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DB1862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7589F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3BDC1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9766FA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FA781F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832929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2E6FD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B86564A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A9290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97CAB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148616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CEDDC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B1FF2B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AE356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D42E81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CDFF9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D2845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62AF01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8489172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00910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7C80EA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0E82D4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61F2975" w14:textId="0E49102F" w:rsidR="0075357B" w:rsidRDefault="00070C01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34864DB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F6021A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5F7B1A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68018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31077E9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9D4D885" w14:textId="77777777" w:rsidR="0075357B" w:rsidRDefault="0075357B">
      <w:pPr>
        <w:spacing w:after="183"/>
        <w:rPr>
          <w:rFonts w:ascii="Times New Roman" w:hAnsi="Times New Roman"/>
          <w:color w:val="000000" w:themeColor="text1"/>
          <w:sz w:val="24"/>
          <w:szCs w:val="24"/>
        </w:rPr>
        <w:sectPr w:rsidR="0075357B">
          <w:type w:val="continuous"/>
          <w:pgSz w:w="11920" w:h="16840"/>
          <w:pgMar w:top="343" w:right="500" w:bottom="275" w:left="500" w:header="708" w:footer="708" w:gutter="0"/>
          <w:cols w:space="720"/>
          <w:docGrid w:linePitch="360"/>
        </w:sectPr>
      </w:pPr>
    </w:p>
    <w:p w14:paraId="75834CF7" w14:textId="77777777" w:rsidR="0075357B" w:rsidRDefault="0075357B"/>
    <w:sectPr w:rsidR="0075357B">
      <w:type w:val="continuous"/>
      <w:pgSz w:w="11920" w:h="1684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B5D"/>
    <w:multiLevelType w:val="hybridMultilevel"/>
    <w:tmpl w:val="8B664872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65B0423"/>
    <w:multiLevelType w:val="hybridMultilevel"/>
    <w:tmpl w:val="13420B6C"/>
    <w:lvl w:ilvl="0" w:tplc="8EAAB3C4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" w15:restartNumberingAfterBreak="0">
    <w:nsid w:val="0D064D9B"/>
    <w:multiLevelType w:val="hybridMultilevel"/>
    <w:tmpl w:val="668C9254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37550"/>
    <w:multiLevelType w:val="multilevel"/>
    <w:tmpl w:val="8720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D3840"/>
    <w:multiLevelType w:val="multilevel"/>
    <w:tmpl w:val="6B8C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9561D"/>
    <w:multiLevelType w:val="hybridMultilevel"/>
    <w:tmpl w:val="B270FBE8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6" w15:restartNumberingAfterBreak="0">
    <w:nsid w:val="21DF2FB1"/>
    <w:multiLevelType w:val="multilevel"/>
    <w:tmpl w:val="BF1A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4917ED"/>
    <w:multiLevelType w:val="multilevel"/>
    <w:tmpl w:val="02D6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444034"/>
    <w:multiLevelType w:val="multilevel"/>
    <w:tmpl w:val="A326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3C5BF6"/>
    <w:multiLevelType w:val="multilevel"/>
    <w:tmpl w:val="65F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113864"/>
    <w:multiLevelType w:val="hybridMultilevel"/>
    <w:tmpl w:val="61CEB68A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1" w15:restartNumberingAfterBreak="0">
    <w:nsid w:val="44D724AC"/>
    <w:multiLevelType w:val="multilevel"/>
    <w:tmpl w:val="28A2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57095C"/>
    <w:multiLevelType w:val="multilevel"/>
    <w:tmpl w:val="78BC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D36826"/>
    <w:multiLevelType w:val="hybridMultilevel"/>
    <w:tmpl w:val="A9DCD8FE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44337"/>
    <w:multiLevelType w:val="hybridMultilevel"/>
    <w:tmpl w:val="8D347C7A"/>
    <w:lvl w:ilvl="0" w:tplc="CFC07528"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5" w15:restartNumberingAfterBreak="0">
    <w:nsid w:val="5F55092A"/>
    <w:multiLevelType w:val="multilevel"/>
    <w:tmpl w:val="9C22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1431B85"/>
    <w:multiLevelType w:val="hybridMultilevel"/>
    <w:tmpl w:val="CFC09712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F474BE"/>
    <w:multiLevelType w:val="hybridMultilevel"/>
    <w:tmpl w:val="D6EEF90A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8985536"/>
    <w:multiLevelType w:val="hybridMultilevel"/>
    <w:tmpl w:val="A6C67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10998"/>
    <w:multiLevelType w:val="multilevel"/>
    <w:tmpl w:val="981A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527C12"/>
    <w:multiLevelType w:val="hybridMultilevel"/>
    <w:tmpl w:val="5E623550"/>
    <w:lvl w:ilvl="0" w:tplc="84CE5586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9" w:hanging="360"/>
      </w:pPr>
    </w:lvl>
    <w:lvl w:ilvl="2" w:tplc="0809001B" w:tentative="1">
      <w:start w:val="1"/>
      <w:numFmt w:val="lowerRoman"/>
      <w:lvlText w:val="%3."/>
      <w:lvlJc w:val="right"/>
      <w:pPr>
        <w:ind w:left="1949" w:hanging="180"/>
      </w:pPr>
    </w:lvl>
    <w:lvl w:ilvl="3" w:tplc="0809000F" w:tentative="1">
      <w:start w:val="1"/>
      <w:numFmt w:val="decimal"/>
      <w:lvlText w:val="%4."/>
      <w:lvlJc w:val="left"/>
      <w:pPr>
        <w:ind w:left="2669" w:hanging="360"/>
      </w:pPr>
    </w:lvl>
    <w:lvl w:ilvl="4" w:tplc="08090019" w:tentative="1">
      <w:start w:val="1"/>
      <w:numFmt w:val="lowerLetter"/>
      <w:lvlText w:val="%5."/>
      <w:lvlJc w:val="left"/>
      <w:pPr>
        <w:ind w:left="3389" w:hanging="360"/>
      </w:pPr>
    </w:lvl>
    <w:lvl w:ilvl="5" w:tplc="0809001B" w:tentative="1">
      <w:start w:val="1"/>
      <w:numFmt w:val="lowerRoman"/>
      <w:lvlText w:val="%6."/>
      <w:lvlJc w:val="right"/>
      <w:pPr>
        <w:ind w:left="4109" w:hanging="180"/>
      </w:pPr>
    </w:lvl>
    <w:lvl w:ilvl="6" w:tplc="0809000F" w:tentative="1">
      <w:start w:val="1"/>
      <w:numFmt w:val="decimal"/>
      <w:lvlText w:val="%7."/>
      <w:lvlJc w:val="left"/>
      <w:pPr>
        <w:ind w:left="4829" w:hanging="360"/>
      </w:pPr>
    </w:lvl>
    <w:lvl w:ilvl="7" w:tplc="08090019" w:tentative="1">
      <w:start w:val="1"/>
      <w:numFmt w:val="lowerLetter"/>
      <w:lvlText w:val="%8."/>
      <w:lvlJc w:val="left"/>
      <w:pPr>
        <w:ind w:left="5549" w:hanging="360"/>
      </w:pPr>
    </w:lvl>
    <w:lvl w:ilvl="8" w:tplc="080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21" w15:restartNumberingAfterBreak="0">
    <w:nsid w:val="77670A9D"/>
    <w:multiLevelType w:val="multilevel"/>
    <w:tmpl w:val="A41A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AB7118E"/>
    <w:multiLevelType w:val="multilevel"/>
    <w:tmpl w:val="4980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E7061F1"/>
    <w:multiLevelType w:val="hybridMultilevel"/>
    <w:tmpl w:val="F750503E"/>
    <w:lvl w:ilvl="0" w:tplc="CFC07528"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28199600">
    <w:abstractNumId w:val="4"/>
  </w:num>
  <w:num w:numId="2" w16cid:durableId="1314287331">
    <w:abstractNumId w:val="11"/>
  </w:num>
  <w:num w:numId="3" w16cid:durableId="961882483">
    <w:abstractNumId w:val="9"/>
  </w:num>
  <w:num w:numId="4" w16cid:durableId="795218630">
    <w:abstractNumId w:val="6"/>
  </w:num>
  <w:num w:numId="5" w16cid:durableId="1126967954">
    <w:abstractNumId w:val="3"/>
  </w:num>
  <w:num w:numId="6" w16cid:durableId="848636756">
    <w:abstractNumId w:val="19"/>
  </w:num>
  <w:num w:numId="7" w16cid:durableId="412899852">
    <w:abstractNumId w:val="12"/>
  </w:num>
  <w:num w:numId="8" w16cid:durableId="581262276">
    <w:abstractNumId w:val="7"/>
  </w:num>
  <w:num w:numId="9" w16cid:durableId="1384326700">
    <w:abstractNumId w:val="15"/>
  </w:num>
  <w:num w:numId="10" w16cid:durableId="1508714727">
    <w:abstractNumId w:val="8"/>
  </w:num>
  <w:num w:numId="11" w16cid:durableId="1427925283">
    <w:abstractNumId w:val="21"/>
  </w:num>
  <w:num w:numId="12" w16cid:durableId="500587923">
    <w:abstractNumId w:val="22"/>
  </w:num>
  <w:num w:numId="13" w16cid:durableId="1195970466">
    <w:abstractNumId w:val="18"/>
  </w:num>
  <w:num w:numId="14" w16cid:durableId="1900242454">
    <w:abstractNumId w:val="2"/>
  </w:num>
  <w:num w:numId="15" w16cid:durableId="1408109943">
    <w:abstractNumId w:val="16"/>
  </w:num>
  <w:num w:numId="16" w16cid:durableId="658116479">
    <w:abstractNumId w:val="13"/>
  </w:num>
  <w:num w:numId="17" w16cid:durableId="1873377814">
    <w:abstractNumId w:val="5"/>
  </w:num>
  <w:num w:numId="18" w16cid:durableId="172768154">
    <w:abstractNumId w:val="17"/>
  </w:num>
  <w:num w:numId="19" w16cid:durableId="59984353">
    <w:abstractNumId w:val="23"/>
  </w:num>
  <w:num w:numId="20" w16cid:durableId="1022440935">
    <w:abstractNumId w:val="14"/>
  </w:num>
  <w:num w:numId="21" w16cid:durableId="1547714865">
    <w:abstractNumId w:val="20"/>
  </w:num>
  <w:num w:numId="22" w16cid:durableId="713579931">
    <w:abstractNumId w:val="1"/>
  </w:num>
  <w:num w:numId="23" w16cid:durableId="823206126">
    <w:abstractNumId w:val="0"/>
  </w:num>
  <w:num w:numId="24" w16cid:durableId="4349784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7B"/>
    <w:rsid w:val="000047DE"/>
    <w:rsid w:val="000657E3"/>
    <w:rsid w:val="00070C01"/>
    <w:rsid w:val="001E18EB"/>
    <w:rsid w:val="002157B7"/>
    <w:rsid w:val="00222981"/>
    <w:rsid w:val="002C555F"/>
    <w:rsid w:val="0032280E"/>
    <w:rsid w:val="00346055"/>
    <w:rsid w:val="00361D47"/>
    <w:rsid w:val="003B6622"/>
    <w:rsid w:val="003D1C16"/>
    <w:rsid w:val="004514AD"/>
    <w:rsid w:val="005313E3"/>
    <w:rsid w:val="005B07CD"/>
    <w:rsid w:val="005C47AA"/>
    <w:rsid w:val="005F31C4"/>
    <w:rsid w:val="00714BBF"/>
    <w:rsid w:val="00740670"/>
    <w:rsid w:val="0075357B"/>
    <w:rsid w:val="00870797"/>
    <w:rsid w:val="00876882"/>
    <w:rsid w:val="00877C52"/>
    <w:rsid w:val="009114E6"/>
    <w:rsid w:val="00954099"/>
    <w:rsid w:val="009542E7"/>
    <w:rsid w:val="009A49CE"/>
    <w:rsid w:val="009B7306"/>
    <w:rsid w:val="009E66B3"/>
    <w:rsid w:val="00A077D2"/>
    <w:rsid w:val="00A12E04"/>
    <w:rsid w:val="00A22CA3"/>
    <w:rsid w:val="00AB08FD"/>
    <w:rsid w:val="00B11870"/>
    <w:rsid w:val="00B66183"/>
    <w:rsid w:val="00B8358A"/>
    <w:rsid w:val="00B843F7"/>
    <w:rsid w:val="00CB6F31"/>
    <w:rsid w:val="00CF350C"/>
    <w:rsid w:val="00D422CF"/>
    <w:rsid w:val="00D622B7"/>
    <w:rsid w:val="00D67616"/>
    <w:rsid w:val="00D9506F"/>
    <w:rsid w:val="00DA6BD6"/>
    <w:rsid w:val="00DB3322"/>
    <w:rsid w:val="00DB5D43"/>
    <w:rsid w:val="00DC30E1"/>
    <w:rsid w:val="00E52632"/>
    <w:rsid w:val="00E53AB6"/>
    <w:rsid w:val="00EA6792"/>
    <w:rsid w:val="00F106B3"/>
    <w:rsid w:val="00F552EE"/>
    <w:rsid w:val="00FC5EE4"/>
    <w:rsid w:val="0AA44D0B"/>
    <w:rsid w:val="0DDED035"/>
    <w:rsid w:val="1C18B3CF"/>
    <w:rsid w:val="1F0E2456"/>
    <w:rsid w:val="215D65C7"/>
    <w:rsid w:val="25401FFC"/>
    <w:rsid w:val="594CCB6A"/>
    <w:rsid w:val="6D0A8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6A0E"/>
  <w15:docId w15:val="{4FBA2ABB-03E8-48EC-B986-D42403E9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14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B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B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49CE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DAEC1A88A15E449C943F116F885E1B" ma:contentTypeVersion="10" ma:contentTypeDescription="Create a new document." ma:contentTypeScope="" ma:versionID="3a2460f7598971ff85546cf86b1a7da0">
  <xsd:schema xmlns:xsd="http://www.w3.org/2001/XMLSchema" xmlns:xs="http://www.w3.org/2001/XMLSchema" xmlns:p="http://schemas.microsoft.com/office/2006/metadata/properties" xmlns:ns3="f203c461-b381-4986-833a-ce028904ea9c" targetNamespace="http://schemas.microsoft.com/office/2006/metadata/properties" ma:root="true" ma:fieldsID="74d121ed98d2dbd83bab52c18d74f914" ns3:_="">
    <xsd:import namespace="f203c461-b381-4986-833a-ce028904ea9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3c461-b381-4986-833a-ce028904ea9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3c461-b381-4986-833a-ce028904ea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D709D-4FA0-4F59-AA80-69B9E558E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3c461-b381-4986-833a-ce028904ea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67630F-0A9B-4A6B-829B-CD1C397C132C}">
  <ds:schemaRefs>
    <ds:schemaRef ds:uri="http://schemas.microsoft.com/office/2006/metadata/properties"/>
    <ds:schemaRef ds:uri="http://schemas.microsoft.com/office/infopath/2007/PartnerControls"/>
    <ds:schemaRef ds:uri="f203c461-b381-4986-833a-ce028904ea9c"/>
  </ds:schemaRefs>
</ds:datastoreItem>
</file>

<file path=customXml/itemProps3.xml><?xml version="1.0" encoding="utf-8"?>
<ds:datastoreItem xmlns:ds="http://schemas.openxmlformats.org/officeDocument/2006/customXml" ds:itemID="{4607E813-0BE9-4B09-9F1B-469159537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IFAD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lmssd</dc:creator>
  <cp:lastModifiedBy>Mok, Jeenho</cp:lastModifiedBy>
  <cp:revision>5</cp:revision>
  <dcterms:created xsi:type="dcterms:W3CDTF">2025-12-01T15:47:00Z</dcterms:created>
  <dcterms:modified xsi:type="dcterms:W3CDTF">2025-12-03T09:49:00Z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0x010100E0DAEC1A88A15E449C943F116F885E1B</vt:lpwstr>
  </property>
</Properties>
</file>